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93" w:rsidRPr="00AC2D93" w:rsidRDefault="00AC2D93" w:rsidP="00AC2D93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AC2D93">
        <w:rPr>
          <w:rFonts w:ascii="Arial" w:hAnsi="Arial" w:cs="Arial"/>
          <w:b/>
          <w:sz w:val="24"/>
          <w:szCs w:val="24"/>
          <w:lang w:bidi="en-US"/>
        </w:rPr>
        <w:t xml:space="preserve">Table S1. </w:t>
      </w:r>
      <w:r w:rsidRPr="00AC2D93">
        <w:rPr>
          <w:rFonts w:ascii="Arial" w:hAnsi="Arial" w:cs="Arial"/>
          <w:sz w:val="24"/>
          <w:szCs w:val="24"/>
          <w:lang w:val="en-US"/>
        </w:rPr>
        <w:t xml:space="preserve">Assessment of methodological quality of the included studies </w:t>
      </w:r>
    </w:p>
    <w:p w:rsidR="00AC2D93" w:rsidRPr="00AC2D93" w:rsidRDefault="00AC2D93" w:rsidP="00AC2D93">
      <w:pPr>
        <w:rPr>
          <w:b/>
          <w:i/>
          <w:iCs/>
          <w:lang w:bidi="en-US"/>
        </w:rPr>
      </w:pPr>
    </w:p>
    <w:tbl>
      <w:tblPr>
        <w:tblW w:w="9778" w:type="dxa"/>
        <w:tblInd w:w="-28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C2D93" w:rsidRPr="00AC2D93" w:rsidTr="00AC2D93">
        <w:trPr>
          <w:cantSplit/>
          <w:trHeight w:val="3675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Sample origin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Sample size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Blood collection procedure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B3168F" w:rsidP="00AC2D93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Control of </w:t>
            </w:r>
            <w:proofErr w:type="spellStart"/>
            <w:r>
              <w:rPr>
                <w:rFonts w:ascii="Arial" w:hAnsi="Arial" w:cs="Arial"/>
                <w:lang w:bidi="en-US"/>
              </w:rPr>
              <w:t>pre</w:t>
            </w:r>
            <w:r w:rsidR="00AC2D93" w:rsidRPr="00AC2D93">
              <w:rPr>
                <w:rFonts w:ascii="Arial" w:hAnsi="Arial" w:cs="Arial"/>
                <w:lang w:bidi="en-US"/>
              </w:rPr>
              <w:t>analytical</w:t>
            </w:r>
            <w:proofErr w:type="spellEnd"/>
            <w:r w:rsidR="00AC2D93" w:rsidRPr="00AC2D93">
              <w:rPr>
                <w:rFonts w:ascii="Arial" w:hAnsi="Arial" w:cs="Arial"/>
                <w:lang w:bidi="en-US"/>
              </w:rPr>
              <w:t xml:space="preserve"> conditions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Blood collection tube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Control of temperature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Type of centrifugation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Control of stirring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Control of light exposure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Control of evaporation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Sample storage until analysis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proofErr w:type="spellStart"/>
            <w:r w:rsidRPr="00AC2D93">
              <w:rPr>
                <w:rFonts w:ascii="Arial" w:hAnsi="Arial" w:cs="Arial"/>
                <w:lang w:bidi="en-US"/>
              </w:rPr>
              <w:t>Analyzer</w:t>
            </w:r>
            <w:proofErr w:type="spellEnd"/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Method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Metrological quality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Repetition of analysis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Confidence interval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Significance of differences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Overall judgement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Dong, 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14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proofErr w:type="spellStart"/>
            <w:r w:rsidRPr="00AC2D93">
              <w:rPr>
                <w:rFonts w:ascii="Arial" w:hAnsi="Arial" w:cs="Arial"/>
                <w:lang w:bidi="en-US"/>
              </w:rPr>
              <w:t>Bosse</w:t>
            </w:r>
            <w:proofErr w:type="spellEnd"/>
            <w:r w:rsidRPr="00AC2D93">
              <w:rPr>
                <w:rFonts w:ascii="Arial" w:hAnsi="Arial" w:cs="Arial"/>
                <w:lang w:bidi="en-US"/>
              </w:rPr>
              <w:t>, 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17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proofErr w:type="spellStart"/>
            <w:r w:rsidRPr="00AC2D93">
              <w:rPr>
                <w:rFonts w:ascii="Arial" w:hAnsi="Arial" w:cs="Arial"/>
                <w:lang w:bidi="en-US"/>
              </w:rPr>
              <w:t>Nandakumar</w:t>
            </w:r>
            <w:proofErr w:type="spellEnd"/>
            <w:r w:rsidRPr="00AC2D93">
              <w:rPr>
                <w:rFonts w:ascii="Arial" w:hAnsi="Arial" w:cs="Arial"/>
                <w:lang w:bidi="en-US"/>
              </w:rPr>
              <w:t>,</w:t>
            </w:r>
            <w:r>
              <w:rPr>
                <w:rFonts w:ascii="Arial" w:hAnsi="Arial" w:cs="Arial"/>
                <w:lang w:bidi="en-US"/>
              </w:rPr>
              <w:t xml:space="preserve"> 2020</w:t>
            </w:r>
            <w:r w:rsidRPr="00AC2D93">
              <w:rPr>
                <w:rFonts w:ascii="Arial" w:hAnsi="Arial" w:cs="Arial"/>
                <w:lang w:bidi="en-US"/>
              </w:rPr>
              <w:t xml:space="preserve"> 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15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proofErr w:type="spellStart"/>
            <w:r w:rsidRPr="00AC2D93">
              <w:rPr>
                <w:rFonts w:ascii="Arial" w:hAnsi="Arial" w:cs="Arial"/>
                <w:lang w:bidi="en-US"/>
              </w:rPr>
              <w:t>Chakera</w:t>
            </w:r>
            <w:proofErr w:type="spellEnd"/>
            <w:r w:rsidRPr="00AC2D93">
              <w:rPr>
                <w:rFonts w:ascii="Arial" w:hAnsi="Arial" w:cs="Arial"/>
                <w:lang w:bidi="en-US"/>
              </w:rPr>
              <w:t>, 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14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Wu, 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15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Christensen, 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12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Mechanic, 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14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proofErr w:type="spellStart"/>
            <w:r w:rsidRPr="00AC2D93">
              <w:rPr>
                <w:rFonts w:ascii="Arial" w:hAnsi="Arial" w:cs="Arial"/>
                <w:lang w:bidi="en-US"/>
              </w:rPr>
              <w:t>Casati</w:t>
            </w:r>
            <w:proofErr w:type="spellEnd"/>
            <w:r w:rsidRPr="00AC2D93">
              <w:rPr>
                <w:rFonts w:ascii="Arial" w:hAnsi="Arial" w:cs="Arial"/>
                <w:lang w:bidi="en-US"/>
              </w:rPr>
              <w:t>, 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13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proofErr w:type="spellStart"/>
            <w:r w:rsidRPr="00AC2D93">
              <w:rPr>
                <w:rFonts w:ascii="Arial" w:hAnsi="Arial" w:cs="Arial"/>
                <w:lang w:bidi="en-US"/>
              </w:rPr>
              <w:t>Oddoze</w:t>
            </w:r>
            <w:proofErr w:type="spellEnd"/>
            <w:r w:rsidRPr="00AC2D93">
              <w:rPr>
                <w:rFonts w:ascii="Arial" w:hAnsi="Arial" w:cs="Arial"/>
                <w:lang w:bidi="en-US"/>
              </w:rPr>
              <w:t>, 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12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proofErr w:type="spellStart"/>
            <w:r w:rsidRPr="00AC2D93">
              <w:rPr>
                <w:rFonts w:ascii="Arial" w:hAnsi="Arial" w:cs="Arial"/>
                <w:lang w:bidi="en-US"/>
              </w:rPr>
              <w:t>Reisch</w:t>
            </w:r>
            <w:proofErr w:type="spellEnd"/>
            <w:r w:rsidRPr="00AC2D93">
              <w:rPr>
                <w:rFonts w:ascii="Arial" w:hAnsi="Arial" w:cs="Arial"/>
                <w:lang w:bidi="en-US"/>
              </w:rPr>
              <w:t>, 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13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Ellis, 2003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9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Diver, 1994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6</w:t>
            </w:r>
          </w:p>
        </w:tc>
      </w:tr>
      <w:tr w:rsidR="00AC2D93" w:rsidRPr="00AC2D93" w:rsidTr="00AC2D93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Lambert, 1985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93" w:rsidRPr="00AC2D93" w:rsidRDefault="00AC2D93" w:rsidP="00AC2D93">
            <w:pPr>
              <w:rPr>
                <w:rFonts w:ascii="Arial" w:hAnsi="Arial" w:cs="Arial"/>
                <w:lang w:bidi="en-US"/>
              </w:rPr>
            </w:pPr>
            <w:r w:rsidRPr="00AC2D93">
              <w:rPr>
                <w:rFonts w:ascii="Arial" w:hAnsi="Arial" w:cs="Arial"/>
                <w:lang w:bidi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C2D93" w:rsidRPr="00AC2D93" w:rsidRDefault="00AC2D93" w:rsidP="00AC2D93">
            <w:pPr>
              <w:rPr>
                <w:rFonts w:ascii="Arial" w:hAnsi="Arial" w:cs="Arial"/>
                <w:b/>
                <w:lang w:bidi="en-US"/>
              </w:rPr>
            </w:pPr>
            <w:r w:rsidRPr="00AC2D93">
              <w:rPr>
                <w:rFonts w:ascii="Arial" w:hAnsi="Arial" w:cs="Arial"/>
                <w:b/>
                <w:lang w:bidi="en-US"/>
              </w:rPr>
              <w:t>6</w:t>
            </w:r>
          </w:p>
        </w:tc>
      </w:tr>
    </w:tbl>
    <w:p w:rsidR="00FE575A" w:rsidRDefault="00AC2D93" w:rsidP="00B3168F">
      <w:pPr>
        <w:spacing w:line="480" w:lineRule="auto"/>
        <w:jc w:val="both"/>
      </w:pPr>
      <w:r w:rsidRPr="00AC2D93">
        <w:rPr>
          <w:rFonts w:ascii="Arial" w:hAnsi="Arial" w:cs="Arial"/>
          <w:lang w:val="en-US"/>
        </w:rPr>
        <w:t>Studies were classified into four quality grades based on the total score: excellent, acceptable (green color), doubtful (orange), and unacceptable (red).</w:t>
      </w:r>
    </w:p>
    <w:sectPr w:rsidR="00FE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A6"/>
    <w:rsid w:val="003526A6"/>
    <w:rsid w:val="00561178"/>
    <w:rsid w:val="00AC2D93"/>
    <w:rsid w:val="00AD2FD5"/>
    <w:rsid w:val="00B3168F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E40B7-BEAD-456B-8B1B-C8397D5C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Kuleš</dc:creator>
  <cp:keywords/>
  <dc:description/>
  <cp:lastModifiedBy>Jasna Dogic</cp:lastModifiedBy>
  <cp:revision>2</cp:revision>
  <dcterms:created xsi:type="dcterms:W3CDTF">2025-01-14T07:44:00Z</dcterms:created>
  <dcterms:modified xsi:type="dcterms:W3CDTF">2025-01-14T07:44:00Z</dcterms:modified>
</cp:coreProperties>
</file>